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jc w:val="right"/>
        <w:rPr>
          <w:rFonts w:ascii="Times New Roman" w:cs="Times New Roman" w:hAnsi="Times New Roman"/>
          <w:b/>
          <w:sz w:val="24"/>
          <w:szCs w:val="24"/>
        </w:rPr>
      </w:pPr>
      <w:r>
        <w:rPr>
          <w:rFonts w:ascii="Times New Roman" w:cs="Times New Roman" w:hAnsi="Times New Roman"/>
          <w:b/>
          <w:sz w:val="24"/>
          <w:szCs w:val="24"/>
        </w:rPr>
        <w:t xml:space="preserve">Приложение №1 </w:t>
      </w:r>
    </w:p>
    <w:p>
      <w:pPr>
        <w:pStyle w:val="style21"/>
        <w:jc w:val="right"/>
        <w:rPr>
          <w:rFonts w:ascii="Times New Roman" w:cs="Times New Roman" w:hAnsi="Times New Roman"/>
          <w:b/>
          <w:sz w:val="24"/>
          <w:szCs w:val="24"/>
        </w:rPr>
      </w:pPr>
      <w:r>
        <w:rPr>
          <w:rFonts w:ascii="Times New Roman" w:cs="Times New Roman" w:hAnsi="Times New Roman"/>
          <w:b/>
          <w:sz w:val="24"/>
          <w:szCs w:val="24"/>
        </w:rPr>
        <w:t>к приказу от 28.02.2019г. №91</w:t>
      </w:r>
    </w:p>
    <w:p>
      <w:pPr>
        <w:pStyle w:val="style21"/>
        <w:jc w:val="center"/>
        <w:rPr>
          <w:rFonts w:ascii="Times New Roman" w:hAnsi="Times New Roman"/>
          <w:sz w:val="24"/>
          <w:szCs w:val="24"/>
        </w:rPr>
      </w:pPr>
      <w:r>
        <w:rPr>
          <w:rFonts w:ascii="Times New Roman" w:hAnsi="Times New Roman"/>
          <w:sz w:val="24"/>
          <w:szCs w:val="24"/>
        </w:rPr>
      </w:r>
    </w:p>
    <w:p>
      <w:pPr>
        <w:pStyle w:val="style21"/>
        <w:jc w:val="center"/>
        <w:rPr>
          <w:rFonts w:ascii="Times New Roman" w:hAnsi="Times New Roman"/>
          <w:sz w:val="24"/>
          <w:szCs w:val="24"/>
        </w:rPr>
      </w:pPr>
      <w:r>
        <w:rPr>
          <w:rFonts w:ascii="Times New Roman" w:hAnsi="Times New Roman"/>
          <w:sz w:val="24"/>
          <w:szCs w:val="24"/>
        </w:rPr>
      </w:r>
    </w:p>
    <w:p>
      <w:pPr>
        <w:pStyle w:val="style21"/>
        <w:jc w:val="center"/>
        <w:rPr>
          <w:rFonts w:ascii="Times New Roman" w:cs="Times New Roman" w:hAnsi="Times New Roman"/>
          <w:b/>
          <w:sz w:val="24"/>
          <w:szCs w:val="24"/>
        </w:rPr>
      </w:pPr>
      <w:r>
        <w:rPr>
          <w:rFonts w:ascii="Times New Roman" w:cs="Times New Roman" w:hAnsi="Times New Roman"/>
          <w:b/>
          <w:sz w:val="24"/>
          <w:szCs w:val="24"/>
        </w:rPr>
        <w:t>Справка</w:t>
      </w:r>
    </w:p>
    <w:p>
      <w:pPr>
        <w:pStyle w:val="style21"/>
        <w:jc w:val="center"/>
        <w:rPr>
          <w:rFonts w:ascii="Times New Roman" w:cs="Times New Roman" w:hAnsi="Times New Roman"/>
          <w:b/>
          <w:sz w:val="24"/>
          <w:szCs w:val="24"/>
        </w:rPr>
      </w:pPr>
      <w:r>
        <w:rPr>
          <w:rFonts w:ascii="Times New Roman" w:cs="Times New Roman" w:hAnsi="Times New Roman"/>
          <w:b/>
          <w:sz w:val="24"/>
          <w:szCs w:val="24"/>
        </w:rPr>
        <w:t>по итогам репетиционного экзамена по химии  в 9 классе</w:t>
      </w:r>
    </w:p>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от </w:t>
      </w:r>
      <w:bookmarkStart w:id="0" w:name="_GoBack"/>
      <w:bookmarkEnd w:id="0"/>
      <w:r>
        <w:rPr>
          <w:rFonts w:ascii="Times New Roman" w:cs="Times New Roman" w:hAnsi="Times New Roman"/>
          <w:sz w:val="24"/>
          <w:szCs w:val="24"/>
        </w:rPr>
        <w:t>28.02.2019 года</w:t>
      </w:r>
    </w:p>
    <w:p>
      <w:pPr>
        <w:pStyle w:val="style0"/>
        <w:rPr>
          <w:rFonts w:ascii="Times New Roman" w:cs="Times New Roman" w:hAnsi="Times New Roman"/>
          <w:sz w:val="24"/>
          <w:szCs w:val="24"/>
        </w:rPr>
      </w:pPr>
      <w:r>
        <w:rPr>
          <w:rFonts w:ascii="Times New Roman" w:cs="Times New Roman" w:hAnsi="Times New Roman"/>
          <w:sz w:val="24"/>
          <w:szCs w:val="24"/>
        </w:rPr>
        <w:t>По списку в 9 классе – 11 обучающихся</w:t>
      </w:r>
    </w:p>
    <w:p>
      <w:pPr>
        <w:pStyle w:val="style0"/>
        <w:rPr>
          <w:rFonts w:ascii="Times New Roman" w:cs="Times New Roman" w:hAnsi="Times New Roman"/>
          <w:sz w:val="24"/>
          <w:szCs w:val="24"/>
        </w:rPr>
      </w:pPr>
      <w:r>
        <w:rPr>
          <w:rFonts w:ascii="Times New Roman" w:cs="Times New Roman" w:hAnsi="Times New Roman"/>
          <w:sz w:val="24"/>
          <w:szCs w:val="24"/>
        </w:rPr>
        <w:t>Участвовали в пробном тестировании –  2 обучающихся</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Выполнение заданий 1- 22. Личные результаты                                                                     Таблица № 1.</w:t>
      </w:r>
    </w:p>
    <w:tbl>
      <w:tblPr>
        <w:jc w:val="left"/>
        <w:tblInd w:type="dxa" w:w="-60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531"/>
        <w:gridCol w:w="1974"/>
        <w:gridCol w:w="422"/>
        <w:gridCol w:w="434"/>
        <w:gridCol w:w="411"/>
        <w:gridCol w:w="410"/>
        <w:gridCol w:w="412"/>
        <w:gridCol w:w="411"/>
        <w:gridCol w:w="326"/>
        <w:gridCol w:w="411"/>
        <w:gridCol w:w="383"/>
        <w:gridCol w:w="435"/>
        <w:gridCol w:w="435"/>
        <w:gridCol w:w="435"/>
        <w:gridCol w:w="435"/>
        <w:gridCol w:w="436"/>
        <w:gridCol w:w="435"/>
        <w:gridCol w:w="435"/>
        <w:gridCol w:w="435"/>
        <w:gridCol w:w="435"/>
        <w:gridCol w:w="463"/>
      </w:tblGrid>
      <w:tr>
        <w:trPr>
          <w:cantSplit w:val="false"/>
        </w:trPr>
        <w:tc>
          <w:tcPr>
            <w:tcW w:type="dxa" w:w="53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п/п</w:t>
            </w:r>
          </w:p>
        </w:tc>
        <w:tc>
          <w:tcPr>
            <w:tcW w:type="dxa" w:w="197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Фамилия, имя</w:t>
            </w:r>
          </w:p>
        </w:tc>
        <w:tc>
          <w:tcPr>
            <w:tcW w:type="dxa" w:w="4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43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2</w:t>
            </w:r>
          </w:p>
        </w:tc>
        <w:tc>
          <w:tcPr>
            <w:tcW w:type="dxa" w:w="4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3</w:t>
            </w:r>
          </w:p>
        </w:tc>
        <w:tc>
          <w:tcPr>
            <w:tcW w:type="dxa" w:w="41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4</w:t>
            </w:r>
          </w:p>
        </w:tc>
        <w:tc>
          <w:tcPr>
            <w:tcW w:type="dxa" w:w="41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5</w:t>
            </w:r>
          </w:p>
        </w:tc>
        <w:tc>
          <w:tcPr>
            <w:tcW w:type="dxa" w:w="4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6</w:t>
            </w:r>
          </w:p>
        </w:tc>
        <w:tc>
          <w:tcPr>
            <w:tcW w:type="dxa" w:w="32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7</w:t>
            </w:r>
          </w:p>
        </w:tc>
        <w:tc>
          <w:tcPr>
            <w:tcW w:type="dxa" w:w="4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8</w:t>
            </w:r>
          </w:p>
        </w:tc>
        <w:tc>
          <w:tcPr>
            <w:tcW w:type="dxa" w:w="3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9</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10</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11</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12</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13</w:t>
            </w:r>
          </w:p>
        </w:tc>
        <w:tc>
          <w:tcPr>
            <w:tcW w:type="dxa" w:w="4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14</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15</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16</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17</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18</w:t>
            </w:r>
          </w:p>
        </w:tc>
        <w:tc>
          <w:tcPr>
            <w:tcW w:type="dxa" w:w="46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19</w:t>
            </w:r>
          </w:p>
        </w:tc>
      </w:tr>
      <w:tr>
        <w:trPr>
          <w:cantSplit w:val="false"/>
        </w:trPr>
        <w:tc>
          <w:tcPr>
            <w:tcW w:type="dxa" w:w="53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b/>
                <w:sz w:val="24"/>
                <w:szCs w:val="24"/>
              </w:rPr>
            </w:pPr>
            <w:r>
              <w:rPr>
                <w:rFonts w:ascii="Times New Roman" w:cs="Times New Roman" w:hAnsi="Times New Roman"/>
                <w:b/>
                <w:sz w:val="24"/>
                <w:szCs w:val="24"/>
              </w:rPr>
              <w:t>1</w:t>
            </w:r>
          </w:p>
        </w:tc>
        <w:tc>
          <w:tcPr>
            <w:tcW w:type="dxa" w:w="197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Вяжевич Валентина</w:t>
            </w:r>
          </w:p>
        </w:tc>
        <w:tc>
          <w:tcPr>
            <w:tcW w:type="dxa" w:w="4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43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4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41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41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4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32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4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3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4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2</w:t>
            </w:r>
          </w:p>
        </w:tc>
        <w:tc>
          <w:tcPr>
            <w:tcW w:type="dxa" w:w="4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0</w:t>
            </w:r>
          </w:p>
        </w:tc>
        <w:tc>
          <w:tcPr>
            <w:tcW w:type="dxa" w:w="46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tc>
      </w:tr>
      <w:tr>
        <w:trPr>
          <w:cantSplit w:val="false"/>
        </w:trPr>
        <w:tc>
          <w:tcPr>
            <w:tcW w:type="dxa" w:w="531"/>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2</w:t>
            </w:r>
          </w:p>
        </w:tc>
        <w:tc>
          <w:tcPr>
            <w:tcW w:type="dxa" w:w="1974"/>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Заможняя Мария</w:t>
            </w:r>
          </w:p>
        </w:tc>
        <w:tc>
          <w:tcPr>
            <w:tcW w:type="dxa" w:w="422"/>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1</w:t>
            </w:r>
          </w:p>
        </w:tc>
        <w:tc>
          <w:tcPr>
            <w:tcW w:type="dxa" w:w="434"/>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411"/>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410"/>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1</w:t>
            </w:r>
          </w:p>
        </w:tc>
        <w:tc>
          <w:tcPr>
            <w:tcW w:type="dxa" w:w="412"/>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1</w:t>
            </w:r>
          </w:p>
        </w:tc>
        <w:tc>
          <w:tcPr>
            <w:tcW w:type="dxa" w:w="411"/>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326"/>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1</w:t>
            </w:r>
          </w:p>
        </w:tc>
        <w:tc>
          <w:tcPr>
            <w:tcW w:type="dxa" w:w="411"/>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1</w:t>
            </w:r>
          </w:p>
        </w:tc>
        <w:tc>
          <w:tcPr>
            <w:tcW w:type="dxa" w:w="383"/>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43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43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43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43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436"/>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c>
          <w:tcPr>
            <w:tcW w:type="dxa" w:w="43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1</w:t>
            </w:r>
          </w:p>
        </w:tc>
        <w:tc>
          <w:tcPr>
            <w:tcW w:type="dxa" w:w="43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2</w:t>
            </w:r>
          </w:p>
        </w:tc>
        <w:tc>
          <w:tcPr>
            <w:tcW w:type="dxa" w:w="43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1</w:t>
            </w:r>
          </w:p>
        </w:tc>
        <w:tc>
          <w:tcPr>
            <w:tcW w:type="dxa" w:w="43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2</w:t>
            </w:r>
          </w:p>
        </w:tc>
        <w:tc>
          <w:tcPr>
            <w:tcW w:type="dxa" w:w="463"/>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r>
    </w:tbl>
    <w:p>
      <w:pPr>
        <w:pStyle w:val="style0"/>
        <w:rPr>
          <w:rFonts w:ascii="Times New Roman" w:hAnsi="Times New Roman"/>
          <w:sz w:val="24"/>
          <w:szCs w:val="24"/>
        </w:rPr>
      </w:pPr>
      <w:r>
        <w:rPr>
          <w:rFonts w:ascii="Times New Roman" w:hAnsi="Times New Roman"/>
          <w:sz w:val="24"/>
          <w:szCs w:val="24"/>
        </w:rPr>
      </w:r>
    </w:p>
    <w:tbl>
      <w:tblPr>
        <w:jc w:val="left"/>
        <w:tblInd w:type="dxa" w:w="-60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567"/>
        <w:gridCol w:w="568"/>
        <w:gridCol w:w="567"/>
        <w:gridCol w:w="565"/>
      </w:tblGrid>
      <w:tr>
        <w:trPr>
          <w:trHeight w:hRule="atLeast" w:val="262"/>
          <w:cantSplit w:val="false"/>
        </w:trPr>
        <w:tc>
          <w:tcPr>
            <w:tcW w:type="dxa" w:w="56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п/п</w:t>
            </w:r>
          </w:p>
        </w:tc>
        <w:tc>
          <w:tcPr>
            <w:tcW w:type="dxa" w:w="56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20</w:t>
            </w:r>
          </w:p>
        </w:tc>
        <w:tc>
          <w:tcPr>
            <w:tcW w:type="dxa" w:w="56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21</w:t>
            </w:r>
          </w:p>
        </w:tc>
        <w:tc>
          <w:tcPr>
            <w:tcW w:type="dxa" w:w="56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22</w:t>
            </w:r>
          </w:p>
        </w:tc>
      </w:tr>
      <w:tr>
        <w:trPr>
          <w:trHeight w:hRule="atLeast" w:val="248"/>
          <w:cantSplit w:val="false"/>
        </w:trPr>
        <w:tc>
          <w:tcPr>
            <w:tcW w:type="dxa" w:w="56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b/>
                <w:sz w:val="24"/>
                <w:szCs w:val="24"/>
              </w:rPr>
            </w:pPr>
            <w:r>
              <w:rPr>
                <w:rFonts w:ascii="Times New Roman" w:cs="Times New Roman" w:hAnsi="Times New Roman"/>
                <w:b/>
                <w:sz w:val="24"/>
                <w:szCs w:val="24"/>
              </w:rPr>
              <w:t>1</w:t>
            </w:r>
          </w:p>
        </w:tc>
        <w:tc>
          <w:tcPr>
            <w:tcW w:type="dxa" w:w="56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3</w:t>
            </w:r>
          </w:p>
        </w:tc>
        <w:tc>
          <w:tcPr>
            <w:tcW w:type="dxa" w:w="56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2</w:t>
            </w:r>
          </w:p>
        </w:tc>
        <w:tc>
          <w:tcPr>
            <w:tcW w:type="dxa" w:w="56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1</w:t>
            </w:r>
          </w:p>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r>
          </w:p>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r>
          </w:p>
        </w:tc>
      </w:tr>
      <w:tr>
        <w:trPr>
          <w:trHeight w:hRule="atLeast" w:val="248"/>
          <w:cantSplit w:val="false"/>
        </w:trPr>
        <w:tc>
          <w:tcPr>
            <w:tcW w:type="dxa" w:w="567"/>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2</w:t>
            </w:r>
          </w:p>
        </w:tc>
        <w:tc>
          <w:tcPr>
            <w:tcW w:type="dxa" w:w="568"/>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3</w:t>
            </w:r>
          </w:p>
        </w:tc>
        <w:tc>
          <w:tcPr>
            <w:tcW w:type="dxa" w:w="567"/>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3</w:t>
            </w:r>
          </w:p>
        </w:tc>
        <w:tc>
          <w:tcPr>
            <w:tcW w:type="dxa" w:w="565"/>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0</w:t>
            </w:r>
          </w:p>
        </w:tc>
      </w:tr>
    </w:tbl>
    <w:p>
      <w:pPr>
        <w:pStyle w:val="style0"/>
        <w:rPr>
          <w:rFonts w:ascii="Times New Roman" w:hAnsi="Times New Roman"/>
          <w:sz w:val="24"/>
          <w:szCs w:val="24"/>
        </w:rPr>
      </w:pPr>
      <w:r>
        <w:rPr>
          <w:rFonts w:ascii="Times New Roman" w:hAnsi="Times New Roman"/>
          <w:sz w:val="24"/>
          <w:szCs w:val="24"/>
        </w:rPr>
      </w:r>
    </w:p>
    <w:p>
      <w:pPr>
        <w:pStyle w:val="style0"/>
        <w:jc w:val="center"/>
        <w:rPr>
          <w:rFonts w:ascii="Times New Roman" w:cs="Times New Roman" w:hAnsi="Times New Roman"/>
          <w:b/>
          <w:bCs/>
          <w:sz w:val="24"/>
          <w:szCs w:val="24"/>
        </w:rPr>
      </w:pPr>
      <w:r>
        <w:rPr>
          <w:rFonts w:ascii="Times New Roman" w:cs="Times New Roman" w:hAnsi="Times New Roman"/>
          <w:b/>
          <w:bCs/>
          <w:sz w:val="24"/>
          <w:szCs w:val="24"/>
        </w:rPr>
        <w:t>Структура</w:t>
      </w:r>
    </w:p>
    <w:p>
      <w:pPr>
        <w:pStyle w:val="style0"/>
        <w:jc w:val="both"/>
        <w:rPr>
          <w:rFonts w:ascii="Times New Roman" w:cs="Times New Roman" w:hAnsi="Times New Roman"/>
          <w:sz w:val="24"/>
          <w:szCs w:val="24"/>
        </w:rPr>
      </w:pPr>
      <w:r>
        <w:rPr>
          <w:rFonts w:ascii="Times New Roman" w:cs="Times New Roman" w:hAnsi="Times New Roman"/>
          <w:sz w:val="24"/>
          <w:szCs w:val="24"/>
        </w:rPr>
        <w:t>Часть 1 содержит 19 заданий с кратким ответом, в их числе 15 заданий базового уровня сложности (порядковые номера этих заданий: 1, 2, 3, 4, …15) и 4 задания повышенного уровня сложности (порядковые номера этих заданий: 16, 17, 18, 19). При всем своем различии задания этой части сходны в том, что ответ к каждому из них записывается кратко в виде одной цифры или последовательности цифр (двух или трех). Последовательность цифр записывается в бланк ответов без пробелов и других дополнительных символов.</w:t>
      </w:r>
    </w:p>
    <w:p>
      <w:pPr>
        <w:pStyle w:val="style0"/>
        <w:jc w:val="both"/>
        <w:rPr>
          <w:rFonts w:ascii="Times New Roman" w:cs="Times New Roman" w:hAnsi="Times New Roman"/>
          <w:sz w:val="24"/>
          <w:szCs w:val="24"/>
        </w:rPr>
      </w:pPr>
      <w:r>
        <w:rPr>
          <w:rFonts w:ascii="Times New Roman" w:cs="Times New Roman" w:hAnsi="Times New Roman"/>
          <w:sz w:val="24"/>
          <w:szCs w:val="24"/>
        </w:rPr>
        <w:t>Часть 2 в зависимости от модели КИМ содержит 3 или 4 задания высокого уровня сложности, с развернутым ответом. Различие экзаменационных моделей 1 и 2 состоит в содержании и подходах к выполнению последних заданий экзаменационных вариантов:</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экзаменационная модель 1 содержит задание 22, предусматривающее выполнение «мысленного эксперимента»;</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экзаменационная модель 2 содержит задания 22 и 23, предусматривающие выполнение лабораторной работы (реального химического эксперимента).</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Система оценивания выполнения отдельных заданий и экзаменационной работы в целом</w:t>
      </w:r>
    </w:p>
    <w:p>
      <w:pPr>
        <w:pStyle w:val="style0"/>
        <w:jc w:val="both"/>
        <w:rPr>
          <w:rFonts w:ascii="Times New Roman" w:cs="Times New Roman" w:hAnsi="Times New Roman"/>
          <w:sz w:val="24"/>
          <w:szCs w:val="24"/>
        </w:rPr>
      </w:pPr>
      <w:r>
        <w:rPr>
          <w:rFonts w:ascii="Times New Roman" w:cs="Times New Roman" w:hAnsi="Times New Roman"/>
          <w:sz w:val="24"/>
          <w:szCs w:val="24"/>
        </w:rPr>
        <w:t>Верное выполнение каждого из заданий 1–15 оценивается 1 баллом. Верное выполненное каждого из заданий 16–19 максимально оценивается 2 баллами. Задания 16 и 17 считаются выполненными верно, если в каждом из них правильно выбраны два варианта ответа. За неполный ответ – правильно назван один из двух ответов или названы три ответа, из которых два верные, – выставляется 1 балл. Остальные варианты ответов считаются неверными и оцениваются 0 баллов. Задания 18 и 19 считаются выполненными верно, если правильно установлены три соответствия. Частично верным считается ответ, в котором установлены два соответствия из трех; он оценивается 1 баллом. Остальные варианты считаются неверным ответом и оцениваются 0 баллов.</w:t>
      </w:r>
    </w:p>
    <w:p>
      <w:pPr>
        <w:pStyle w:val="style0"/>
        <w:jc w:val="both"/>
        <w:rPr>
          <w:rFonts w:ascii="Times New Roman" w:cs="Times New Roman" w:hAnsi="Times New Roman"/>
          <w:sz w:val="24"/>
          <w:szCs w:val="24"/>
        </w:rPr>
      </w:pPr>
      <w:r>
        <w:rPr>
          <w:rFonts w:ascii="Times New Roman" w:cs="Times New Roman" w:hAnsi="Times New Roman"/>
          <w:sz w:val="24"/>
          <w:szCs w:val="24"/>
        </w:rPr>
        <w:t>Проверка заданий части 2 (20–23) осуществляется предметной комиссией. Максимальная оценка за верно выполненное задание: за задания 20 и 21 – по 3 балла; в модели 1 за задание 22 – 5 баллов; в модели 2 за задание 22 – 4 балла, за задание 23 – 5 баллов.</w:t>
      </w:r>
    </w:p>
    <w:p>
      <w:pPr>
        <w:pStyle w:val="style0"/>
        <w:rPr>
          <w:rFonts w:ascii="Times New Roman" w:cs="Times New Roman" w:hAnsi="Times New Roman"/>
          <w:b/>
          <w:bCs/>
          <w:sz w:val="24"/>
          <w:szCs w:val="24"/>
        </w:rPr>
      </w:pPr>
      <w:r>
        <w:rPr>
          <w:rFonts w:ascii="Times New Roman" w:cs="Times New Roman" w:hAnsi="Times New Roman"/>
          <w:b/>
          <w:bCs/>
          <w:sz w:val="24"/>
          <w:szCs w:val="24"/>
        </w:rPr>
        <w:t>Шкала перевода баллов в оценки:</w:t>
      </w:r>
    </w:p>
    <w:p>
      <w:pPr>
        <w:pStyle w:val="style0"/>
        <w:rPr>
          <w:rFonts w:ascii="Times New Roman" w:cs="Times New Roman" w:hAnsi="Times New Roman"/>
          <w:sz w:val="24"/>
          <w:szCs w:val="24"/>
        </w:rPr>
      </w:pPr>
      <w:r>
        <w:rPr>
          <w:rFonts w:ascii="Times New Roman" w:cs="Times New Roman" w:hAnsi="Times New Roman"/>
          <w:b/>
          <w:bCs/>
          <w:sz w:val="24"/>
          <w:szCs w:val="24"/>
        </w:rPr>
        <w:t>«2»</w:t>
      </w:r>
      <w:r>
        <w:rPr>
          <w:rFonts w:ascii="Times New Roman" w:cs="Times New Roman" w:hAnsi="Times New Roman"/>
          <w:sz w:val="24"/>
          <w:szCs w:val="24"/>
        </w:rPr>
        <w:t> – от 0 до 8</w:t>
      </w:r>
    </w:p>
    <w:p>
      <w:pPr>
        <w:pStyle w:val="style0"/>
        <w:rPr>
          <w:rFonts w:ascii="Times New Roman" w:cs="Times New Roman" w:hAnsi="Times New Roman"/>
          <w:sz w:val="24"/>
          <w:szCs w:val="24"/>
        </w:rPr>
      </w:pPr>
      <w:r>
        <w:rPr>
          <w:rFonts w:ascii="Times New Roman" w:cs="Times New Roman" w:hAnsi="Times New Roman"/>
          <w:b/>
          <w:bCs/>
          <w:sz w:val="24"/>
          <w:szCs w:val="24"/>
        </w:rPr>
        <w:t>«3»</w:t>
      </w:r>
      <w:r>
        <w:rPr>
          <w:rFonts w:ascii="Times New Roman" w:cs="Times New Roman" w:hAnsi="Times New Roman"/>
          <w:sz w:val="24"/>
          <w:szCs w:val="24"/>
        </w:rPr>
        <w:t> – от 9 до 17</w:t>
      </w:r>
    </w:p>
    <w:p>
      <w:pPr>
        <w:pStyle w:val="style0"/>
        <w:rPr>
          <w:rFonts w:ascii="Times New Roman" w:cs="Times New Roman" w:hAnsi="Times New Roman"/>
          <w:sz w:val="24"/>
          <w:szCs w:val="24"/>
        </w:rPr>
      </w:pPr>
      <w:r>
        <w:rPr>
          <w:rFonts w:ascii="Times New Roman" w:cs="Times New Roman" w:hAnsi="Times New Roman"/>
          <w:b/>
          <w:bCs/>
          <w:sz w:val="24"/>
          <w:szCs w:val="24"/>
        </w:rPr>
        <w:t>«4»</w:t>
      </w:r>
      <w:r>
        <w:rPr>
          <w:rFonts w:ascii="Times New Roman" w:cs="Times New Roman" w:hAnsi="Times New Roman"/>
          <w:sz w:val="24"/>
          <w:szCs w:val="24"/>
        </w:rPr>
        <w:t> – от 18 до 26</w:t>
      </w:r>
    </w:p>
    <w:p>
      <w:pPr>
        <w:pStyle w:val="style0"/>
        <w:rPr>
          <w:rFonts w:ascii="Times New Roman" w:cs="Times New Roman" w:hAnsi="Times New Roman"/>
          <w:sz w:val="24"/>
          <w:szCs w:val="24"/>
        </w:rPr>
      </w:pPr>
      <w:r>
        <w:rPr>
          <w:rFonts w:ascii="Times New Roman" w:cs="Times New Roman" w:hAnsi="Times New Roman"/>
          <w:b/>
          <w:bCs/>
          <w:sz w:val="24"/>
          <w:szCs w:val="24"/>
        </w:rPr>
        <w:t>«5»</w:t>
      </w:r>
      <w:r>
        <w:rPr>
          <w:rFonts w:ascii="Times New Roman" w:cs="Times New Roman" w:hAnsi="Times New Roman"/>
          <w:sz w:val="24"/>
          <w:szCs w:val="24"/>
        </w:rPr>
        <w:t> – от 27 до 34</w:t>
      </w:r>
    </w:p>
    <w:p>
      <w:pPr>
        <w:pStyle w:val="style0"/>
        <w:rPr>
          <w:rFonts w:ascii="Times New Roman" w:hAnsi="Times New Roman"/>
          <w:sz w:val="24"/>
          <w:szCs w:val="24"/>
        </w:rPr>
      </w:pPr>
      <w:r>
        <w:rPr>
          <w:rFonts w:ascii="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t>Таблица № 2.</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748"/>
        <w:gridCol w:w="1549"/>
        <w:gridCol w:w="1620"/>
        <w:gridCol w:w="1401"/>
        <w:gridCol w:w="2253"/>
      </w:tblGrid>
      <w:tr>
        <w:trPr>
          <w:cantSplit w:val="false"/>
        </w:trPr>
        <w:tc>
          <w:tcPr>
            <w:tcW w:type="dxa" w:w="274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ФИО</w:t>
            </w:r>
          </w:p>
        </w:tc>
        <w:tc>
          <w:tcPr>
            <w:tcW w:type="dxa" w:w="154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Часть 1</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Часть 2</w:t>
            </w:r>
          </w:p>
        </w:tc>
        <w:tc>
          <w:tcPr>
            <w:tcW w:type="dxa" w:w="140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Итого</w:t>
            </w:r>
          </w:p>
        </w:tc>
        <w:tc>
          <w:tcPr>
            <w:tcW w:type="dxa" w:w="225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Оценка</w:t>
            </w:r>
          </w:p>
        </w:tc>
      </w:tr>
      <w:tr>
        <w:trPr>
          <w:cantSplit w:val="false"/>
        </w:trPr>
        <w:tc>
          <w:tcPr>
            <w:tcW w:type="dxa" w:w="274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Вяжевич Валентина</w:t>
            </w:r>
          </w:p>
        </w:tc>
        <w:tc>
          <w:tcPr>
            <w:tcW w:type="dxa" w:w="154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11</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6</w:t>
            </w:r>
          </w:p>
        </w:tc>
        <w:tc>
          <w:tcPr>
            <w:tcW w:type="dxa" w:w="140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17</w:t>
            </w:r>
          </w:p>
        </w:tc>
        <w:tc>
          <w:tcPr>
            <w:tcW w:type="dxa" w:w="225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w:t>
            </w:r>
          </w:p>
        </w:tc>
      </w:tr>
      <w:tr>
        <w:trPr>
          <w:cantSplit w:val="false"/>
        </w:trPr>
        <w:tc>
          <w:tcPr>
            <w:tcW w:type="dxa" w:w="2748"/>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Заможняя Мария</w:t>
            </w:r>
          </w:p>
        </w:tc>
        <w:tc>
          <w:tcPr>
            <w:tcW w:type="dxa" w:w="1549"/>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11</w:t>
            </w:r>
          </w:p>
        </w:tc>
        <w:tc>
          <w:tcPr>
            <w:tcW w:type="dxa" w:w="1620"/>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6</w:t>
            </w:r>
          </w:p>
        </w:tc>
        <w:tc>
          <w:tcPr>
            <w:tcW w:type="dxa" w:w="1401"/>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17</w:t>
            </w:r>
          </w:p>
        </w:tc>
        <w:tc>
          <w:tcPr>
            <w:tcW w:type="dxa" w:w="2253"/>
            <w:tcBorders>
              <w:top w:val="nil"/>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3</w:t>
            </w:r>
          </w:p>
        </w:tc>
      </w:tr>
    </w:tbl>
    <w:p>
      <w:pPr>
        <w:pStyle w:val="style0"/>
        <w:rPr>
          <w:rFonts w:ascii="Times New Roman" w:hAnsi="Times New Roman"/>
          <w:sz w:val="24"/>
          <w:szCs w:val="24"/>
        </w:rPr>
      </w:pPr>
      <w:r>
        <w:rPr>
          <w:rFonts w:ascii="Times New Roman" w:hAnsi="Times New Roman"/>
          <w:sz w:val="24"/>
          <w:szCs w:val="24"/>
        </w:rPr>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Анализ успешных заданий</w:t>
      </w:r>
    </w:p>
    <w:p>
      <w:pPr>
        <w:pStyle w:val="style0"/>
        <w:jc w:val="both"/>
        <w:rPr>
          <w:rFonts w:ascii="Times New Roman" w:cs="Times New Roman" w:hAnsi="Times New Roman"/>
          <w:sz w:val="24"/>
          <w:szCs w:val="24"/>
        </w:rPr>
      </w:pPr>
      <w:r>
        <w:rPr>
          <w:rFonts w:ascii="Times New Roman" w:cs="Times New Roman" w:hAnsi="Times New Roman"/>
          <w:sz w:val="24"/>
          <w:szCs w:val="24"/>
        </w:rPr>
        <w:t>Темы с нормальным процентом выполнения:</w:t>
      </w:r>
      <w:r>
        <w:rPr>
          <w:rFonts w:ascii="Times New Roman" w:hAnsi="Times New Roman"/>
          <w:sz w:val="24"/>
          <w:szCs w:val="24"/>
        </w:rPr>
        <w:t xml:space="preserve"> </w:t>
      </w:r>
      <w:r>
        <w:rPr>
          <w:rFonts w:ascii="Times New Roman" w:cs="Times New Roman" w:hAnsi="Times New Roman"/>
          <w:sz w:val="24"/>
          <w:szCs w:val="24"/>
        </w:rPr>
        <w:t>1,2,4,5,8,15,16,17,18,19,20,21. Простые и сложные вещества. Основные классы неорганических веществ. Номенклатура неорганических соединений. Химическая реакция. Условия и признаки протекания химических реакций. Химические уравнения. Сохранение массы веществ при химических реакциях. Классификация химических реакций по различным.признакам: числу и составу исходных и полученных веществ, изменению степеней окисления химическихэлементов, поглощению и выделению энергии. Электролиты и неэлектролиты. Катионы и анионы. Электролитическая диссоциация кислот, щелочей и солей (средних).</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Анализ неуспешных заданий</w:t>
      </w:r>
    </w:p>
    <w:p>
      <w:pPr>
        <w:pStyle w:val="style0"/>
        <w:jc w:val="both"/>
        <w:rPr>
          <w:rFonts w:ascii="Times New Roman" w:cs="Times New Roman" w:hAnsi="Times New Roman"/>
          <w:sz w:val="24"/>
          <w:szCs w:val="24"/>
        </w:rPr>
      </w:pPr>
      <w:r>
        <w:rPr>
          <w:rFonts w:ascii="Times New Roman" w:cs="Times New Roman" w:hAnsi="Times New Roman"/>
          <w:i/>
          <w:sz w:val="24"/>
          <w:szCs w:val="24"/>
        </w:rPr>
        <w:t>Темы с низким процентом выполнения:</w:t>
      </w:r>
      <w:r>
        <w:rPr>
          <w:rFonts w:ascii="Times New Roman" w:cs="Times New Roman" w:hAnsi="Times New Roman"/>
          <w:sz w:val="24"/>
          <w:szCs w:val="24"/>
        </w:rPr>
        <w:t xml:space="preserve"> 3,6,7.9,10,11,12,13,14,22. Периодический закон и Периодическая система химических элементов Д.И. Менделеева.  Валентность химических элементов. Степень окисления химических элементов. Реакции ионного обмена и условия их осуществления. Химические свойства простых веществ: металлов и неметаллов. Химические свойства оксидов: оснόвных, амфотерных, кислотных. Химические свойства оснований. Химические свойства кислот. Химические свойства солей (средних). Степень окисления химических элементов. Окислитель и восстановитель. Окислительно-восстановительные реакции. Вычисление массовой доли химического элемента в веществе. Определение характера среды раствора кислот и щелочей с помощью индикаторов. Качественные реакции на ионы в растворе (хлорид-, сульфат-, карбонат-ионы, ион аммония). Получение газообразных веществ. Качественные реакции на газообразные вещества (кислород, водород, углекислый газ, аммиак). Химические свойства простых веществ. Химические свойства сложных веществ. Химические свойства простых веществ. Химические свойства сложных веществ. Взаимосвязь различных классов неорганических веществ. Реакции ионного обмена и условия их осуществления</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План работы по ликвидации ошибок:</w:t>
      </w:r>
    </w:p>
    <w:p>
      <w:pPr>
        <w:pStyle w:val="style0"/>
        <w:rPr>
          <w:rFonts w:ascii="Times New Roman" w:cs="Times New Roman" w:hAnsi="Times New Roman"/>
          <w:sz w:val="24"/>
          <w:szCs w:val="24"/>
        </w:rPr>
      </w:pPr>
      <w:r>
        <w:rPr>
          <w:rFonts w:ascii="Times New Roman" w:cs="Times New Roman" w:hAnsi="Times New Roman"/>
          <w:sz w:val="24"/>
          <w:szCs w:val="24"/>
        </w:rPr>
        <w:t>1. Провести поэлементный анализ ошибок, допущенных учащимися на экзамене.</w:t>
      </w:r>
    </w:p>
    <w:p>
      <w:pPr>
        <w:pStyle w:val="style0"/>
        <w:rPr>
          <w:rFonts w:ascii="Times New Roman" w:cs="Times New Roman" w:hAnsi="Times New Roman"/>
          <w:sz w:val="24"/>
          <w:szCs w:val="24"/>
        </w:rPr>
      </w:pPr>
      <w:r>
        <w:rPr>
          <w:rFonts w:ascii="Times New Roman" w:cs="Times New Roman" w:hAnsi="Times New Roman"/>
          <w:sz w:val="24"/>
          <w:szCs w:val="24"/>
        </w:rPr>
        <w:t>2. На каждой индивидуальной консультации выделять время на работу по устранению пробелов в знаниях.</w:t>
      </w:r>
    </w:p>
    <w:p>
      <w:pPr>
        <w:pStyle w:val="style0"/>
        <w:rPr>
          <w:rFonts w:ascii="Times New Roman" w:cs="Times New Roman" w:hAnsi="Times New Roman"/>
          <w:sz w:val="24"/>
          <w:szCs w:val="24"/>
        </w:rPr>
      </w:pPr>
      <w:r>
        <w:rPr>
          <w:rFonts w:ascii="Times New Roman" w:cs="Times New Roman" w:hAnsi="Times New Roman"/>
          <w:sz w:val="24"/>
          <w:szCs w:val="24"/>
        </w:rPr>
        <w:t>3. Систематически проводить диагностические работы.</w:t>
      </w:r>
    </w:p>
    <w:p>
      <w:pPr>
        <w:pStyle w:val="style0"/>
        <w:spacing w:after="200" w:before="0"/>
        <w:contextualSpacing w:val="false"/>
        <w:rPr>
          <w:rFonts w:ascii="Times New Roman" w:hAnsi="Times New Roman"/>
          <w:sz w:val="24"/>
          <w:szCs w:val="24"/>
        </w:rPr>
      </w:pPr>
      <w:r>
        <w:rPr>
          <w:rFonts w:ascii="Times New Roman" w:hAnsi="Times New Roman"/>
          <w:sz w:val="24"/>
          <w:szCs w:val="24"/>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No Spacing"/>
    <w:next w:val="style21"/>
    <w:pPr>
      <w:widowControl/>
      <w:suppressAutoHyphens w:val="true"/>
      <w:overflowPunct w:val="false"/>
      <w:spacing w:after="0" w:before="0" w:line="100" w:lineRule="atLeast"/>
      <w:contextualSpacing w:val="false"/>
    </w:pPr>
    <w:rPr>
      <w:rFonts w:ascii="Calibri" w:cs="Times New Roman" w:eastAsia="Calibri" w:hAnsi="Calibri"/>
      <w:color w:val="00000A"/>
      <w:sz w:val="22"/>
      <w:szCs w:val="22"/>
      <w:lang w:bidi="ar-SA" w:eastAsia="en-US" w:val="ru-RU"/>
    </w:rPr>
  </w:style>
  <w:style w:styleId="style22" w:type="paragraph">
    <w:name w:val="Содержимое таблицы"/>
    <w:basedOn w:val="style0"/>
    <w:next w:val="style22"/>
    <w:pPr/>
    <w:rPr/>
  </w:style>
  <w:style w:styleId="style23" w:type="paragraph">
    <w:name w:val="Заголовок таблицы"/>
    <w:basedOn w:val="style22"/>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2018-02-06T16:03:00Z</dcterms:created>
  <dc:creator>1</dc:creator>
  <cp:lastModifiedBy>1</cp:lastModifiedBy>
  <dcterms:modified xsi:type="dcterms:W3CDTF">2018-02-06T16:38:00Z</dcterms:modified>
  <cp:revision>1</cp:revision>
</cp:coreProperties>
</file>